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67DC8" w14:textId="0870C304" w:rsidR="002E7078" w:rsidRPr="00AC43DA" w:rsidRDefault="002E7078" w:rsidP="00F64CC0">
      <w:pPr>
        <w:spacing w:line="276" w:lineRule="auto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  <w:r w:rsidRPr="00AC43DA">
        <w:rPr>
          <w:rFonts w:asciiTheme="minorHAnsi" w:hAnsiTheme="minorHAnsi" w:cstheme="minorHAnsi"/>
          <w:b/>
        </w:rPr>
        <w:t xml:space="preserve">Projeto de Lei nº </w:t>
      </w:r>
      <w:r w:rsidR="006C3BBA" w:rsidRPr="00AC43DA">
        <w:rPr>
          <w:rFonts w:asciiTheme="minorHAnsi" w:hAnsiTheme="minorHAnsi" w:cstheme="minorHAnsi"/>
          <w:b/>
        </w:rPr>
        <w:t>026</w:t>
      </w:r>
      <w:r w:rsidR="00EB744D" w:rsidRPr="00AC43DA">
        <w:rPr>
          <w:rFonts w:asciiTheme="minorHAnsi" w:hAnsiTheme="minorHAnsi" w:cstheme="minorHAnsi"/>
          <w:b/>
        </w:rPr>
        <w:t>/2026</w:t>
      </w:r>
    </w:p>
    <w:p w14:paraId="4A9424DE" w14:textId="77777777" w:rsidR="00F349C7" w:rsidRPr="00AC43DA" w:rsidRDefault="00F349C7" w:rsidP="00F64CC0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AC43DA">
        <w:rPr>
          <w:rFonts w:asciiTheme="minorHAnsi" w:hAnsiTheme="minorHAnsi" w:cstheme="minorHAnsi"/>
          <w:b/>
        </w:rPr>
        <w:t xml:space="preserve">Origem: Poder </w:t>
      </w:r>
      <w:r w:rsidR="00BA0939" w:rsidRPr="00AC43DA">
        <w:rPr>
          <w:rFonts w:asciiTheme="minorHAnsi" w:hAnsiTheme="minorHAnsi" w:cstheme="minorHAnsi"/>
          <w:b/>
        </w:rPr>
        <w:t xml:space="preserve">Executivo </w:t>
      </w:r>
    </w:p>
    <w:p w14:paraId="30572FDE" w14:textId="3B656ECD" w:rsidR="002E7078" w:rsidRPr="00AC43DA" w:rsidRDefault="006C3BBA" w:rsidP="00F64CC0">
      <w:pPr>
        <w:spacing w:line="276" w:lineRule="auto"/>
        <w:ind w:left="3969"/>
        <w:jc w:val="both"/>
        <w:rPr>
          <w:rFonts w:asciiTheme="minorHAnsi" w:hAnsiTheme="minorHAnsi" w:cstheme="minorHAnsi"/>
          <w:b/>
        </w:rPr>
      </w:pPr>
      <w:r w:rsidRPr="00AC43DA">
        <w:rPr>
          <w:rFonts w:asciiTheme="minorHAnsi" w:hAnsiTheme="minorHAnsi" w:cstheme="minorHAnsi"/>
          <w:b/>
        </w:rPr>
        <w:t xml:space="preserve">EMENTA. ALTERA DISPOSITIVOS DA LEI MUNICIPAL Nº 56, DE 05 DE AGOSTO DE 1997, QUE DISCIPLINA O PARCELAMENTO DO SOLO NO MUNICÍPIO DE PASSA SETE E DÁ OUTRAS PROVIDÊNCIAS. DO LEGALIDADE.  </w:t>
      </w:r>
    </w:p>
    <w:p w14:paraId="438D0114" w14:textId="77777777" w:rsidR="00FD62C5" w:rsidRPr="00AC43DA" w:rsidRDefault="00FD62C5" w:rsidP="00F64CC0">
      <w:pPr>
        <w:spacing w:line="276" w:lineRule="auto"/>
        <w:ind w:left="3969"/>
        <w:jc w:val="both"/>
        <w:rPr>
          <w:rFonts w:asciiTheme="minorHAnsi" w:hAnsiTheme="minorHAnsi" w:cstheme="minorHAnsi"/>
          <w:b/>
        </w:rPr>
      </w:pPr>
    </w:p>
    <w:p w14:paraId="1BD41B9C" w14:textId="77777777" w:rsidR="002E7078" w:rsidRPr="00AC43DA" w:rsidRDefault="002E7078" w:rsidP="00F64CC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333FFD9" w14:textId="77777777" w:rsidR="002E7078" w:rsidRPr="00AC43DA" w:rsidRDefault="002E7078" w:rsidP="00F64CC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C43DA">
        <w:rPr>
          <w:rFonts w:asciiTheme="minorHAnsi" w:hAnsiTheme="minorHAnsi" w:cstheme="minorHAnsi"/>
          <w:b/>
        </w:rPr>
        <w:t>RELATÓRIO</w:t>
      </w:r>
    </w:p>
    <w:p w14:paraId="6CEAE8F1" w14:textId="77777777" w:rsidR="00BA0939" w:rsidRPr="00AC43DA" w:rsidRDefault="00BA0939" w:rsidP="00F64CC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ED2B833" w14:textId="77777777" w:rsidR="00B263FE" w:rsidRPr="00432F8A" w:rsidRDefault="00B263FE" w:rsidP="00B263F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 xml:space="preserve">Trata-se de análise jurídica do Projeto de Lei n.º 026/2026, de iniciativa do Poder Executivo Municipal, que visa alterar os artigos 12, 13, 14 e 19 da Lei Municipal n.º 56, de 05 de agosto de 1997, Lei de Parcelamento do Solo. A proposição legislativa busca modernizar a legislação municipal, </w:t>
      </w:r>
      <w:r w:rsidRPr="00432F8A">
        <w:rPr>
          <w:rFonts w:cstheme="minorHAnsi"/>
        </w:rPr>
        <w:t>adequando-a</w:t>
      </w:r>
      <w:r w:rsidRPr="00432F8A">
        <w:rPr>
          <w:rFonts w:asciiTheme="minorHAnsi" w:hAnsiTheme="minorHAnsi" w:cstheme="minorHAnsi"/>
        </w:rPr>
        <w:t xml:space="preserve"> às necessidades atuais de desenvolvimento urbano e à dinamização do mercado imobiliário local, possibilitando a implantação de novos empreendimentos e a ampliação da oferta de lotes regularizados.</w:t>
      </w:r>
    </w:p>
    <w:p w14:paraId="64F155B1" w14:textId="77777777" w:rsidR="00B263FE" w:rsidRPr="00432F8A" w:rsidRDefault="00B263FE" w:rsidP="00B263F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</w:rPr>
      </w:pPr>
    </w:p>
    <w:p w14:paraId="4077410C" w14:textId="77777777" w:rsidR="002E7078" w:rsidRPr="00AC43DA" w:rsidRDefault="002E7078" w:rsidP="00F64CC0">
      <w:pPr>
        <w:tabs>
          <w:tab w:val="left" w:pos="0"/>
        </w:tabs>
        <w:spacing w:line="276" w:lineRule="auto"/>
        <w:jc w:val="center"/>
        <w:rPr>
          <w:rFonts w:asciiTheme="minorHAnsi" w:hAnsiTheme="minorHAnsi" w:cstheme="minorHAnsi"/>
          <w:b/>
        </w:rPr>
      </w:pPr>
      <w:r w:rsidRPr="00AC43DA">
        <w:rPr>
          <w:rFonts w:asciiTheme="minorHAnsi" w:hAnsiTheme="minorHAnsi" w:cstheme="minorHAnsi"/>
          <w:b/>
        </w:rPr>
        <w:t>ANÁLISE JURÍDICA</w:t>
      </w:r>
    </w:p>
    <w:p w14:paraId="3A07405A" w14:textId="77777777" w:rsidR="002E7078" w:rsidRPr="00AC43DA" w:rsidRDefault="002E7078" w:rsidP="00F64CC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433C921D" w14:textId="5D8CA7EE" w:rsidR="002E7078" w:rsidRPr="00AC43DA" w:rsidRDefault="002E7078" w:rsidP="00F64CC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>Os exames desta Assessoria Jurídica da Câmara de Vereadores de Passa Sete se dão com fulcro nas atribuições do cargo contidas na Lei Municipal nº 881/2009. Nesse contexto, subtrai-se da análise questões que importem considerações de ordem política, técnica, financeira ou orçamentária, considerando a delimitação legal da competência da assessoria jurídica como função de consultoria aos senhores Vereadores e às Comissões legislativas.</w:t>
      </w:r>
    </w:p>
    <w:p w14:paraId="78134EC4" w14:textId="77777777" w:rsidR="00EB744D" w:rsidRPr="00AC43DA" w:rsidRDefault="00EB744D" w:rsidP="00F64CC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05BE3F13" w14:textId="17C1B855" w:rsidR="002E7078" w:rsidRPr="00AC43DA" w:rsidRDefault="002E7078" w:rsidP="00F64CC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Outrossim, importante consignar que a presente manifestação tem caráter meramente opinativo, expressando opinião fundamentada a partir da legislação, dos princípios doutrinários e científicos, analisando os questionamentos apresentados exclusivamente sob o aspecto legal/jurídico. Como função consultiva, à Assessora jurídica cabe analisar a legalidade dos procedimentos adotados pela Casa legislativa e dos Projetos de Lei encaminhados ao Poder Legislativo, ou dele </w:t>
      </w:r>
      <w:r w:rsidR="00E46544" w:rsidRPr="00AC43DA">
        <w:rPr>
          <w:rFonts w:asciiTheme="minorHAnsi" w:hAnsiTheme="minorHAnsi" w:cstheme="minorHAnsi"/>
        </w:rPr>
        <w:t>emanados,</w:t>
      </w:r>
      <w:r w:rsidRPr="00AC43DA">
        <w:rPr>
          <w:rFonts w:asciiTheme="minorHAnsi" w:hAnsiTheme="minorHAnsi" w:cstheme="minorHAnsi"/>
        </w:rPr>
        <w:t xml:space="preserve"> mas, de modo algum, implica em deliberações, as quais competem exclusivamente aos vereadores. Também é de se deixar claro que o posicionamento a ser exposto no presente parecer não exclui a previsível existência de entendimentos divergentes a respeito do tema em consulta.</w:t>
      </w:r>
    </w:p>
    <w:p w14:paraId="7DC9438E" w14:textId="77777777" w:rsidR="00EB744D" w:rsidRPr="00AC43DA" w:rsidRDefault="00EB744D" w:rsidP="00F64CC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4AA70ABD" w14:textId="0625D71C" w:rsidR="00CE76B5" w:rsidRPr="00AC43DA" w:rsidRDefault="002E7078" w:rsidP="00CA1A1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Pois bem. </w:t>
      </w:r>
    </w:p>
    <w:p w14:paraId="42232ECA" w14:textId="4E63E71D" w:rsidR="00CE76B5" w:rsidRPr="00AC43DA" w:rsidRDefault="00CE76B5" w:rsidP="00CE76B5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lastRenderedPageBreak/>
        <w:t>A análise se concentra nos seguintes aspectos</w:t>
      </w:r>
      <w:r w:rsidR="006C3BBA" w:rsidRPr="00AC43DA">
        <w:rPr>
          <w:rFonts w:asciiTheme="minorHAnsi" w:hAnsiTheme="minorHAnsi" w:cstheme="minorHAnsi"/>
        </w:rPr>
        <w:t xml:space="preserve">: </w:t>
      </w:r>
      <w:r w:rsidR="009746DF" w:rsidRPr="00AC43DA">
        <w:rPr>
          <w:rFonts w:asciiTheme="minorHAnsi" w:hAnsiTheme="minorHAnsi" w:cstheme="minorHAnsi"/>
        </w:rPr>
        <w:t xml:space="preserve">1) </w:t>
      </w:r>
      <w:r w:rsidR="006C3BBA" w:rsidRPr="00AC43DA">
        <w:rPr>
          <w:rFonts w:asciiTheme="minorHAnsi" w:hAnsiTheme="minorHAnsi" w:cstheme="minorHAnsi"/>
        </w:rPr>
        <w:t>iniciativa do poder executivo</w:t>
      </w:r>
      <w:r w:rsidR="009746DF" w:rsidRPr="00AC43DA">
        <w:rPr>
          <w:rFonts w:asciiTheme="minorHAnsi" w:hAnsiTheme="minorHAnsi" w:cstheme="minorHAnsi"/>
        </w:rPr>
        <w:t xml:space="preserve"> (legalidade e constitucionalidade)</w:t>
      </w:r>
      <w:r w:rsidR="006C3BBA" w:rsidRPr="00AC43DA">
        <w:rPr>
          <w:rFonts w:asciiTheme="minorHAnsi" w:hAnsiTheme="minorHAnsi" w:cstheme="minorHAnsi"/>
        </w:rPr>
        <w:t xml:space="preserve">; </w:t>
      </w:r>
      <w:r w:rsidR="009746DF" w:rsidRPr="00AC43DA">
        <w:rPr>
          <w:rFonts w:asciiTheme="minorHAnsi" w:hAnsiTheme="minorHAnsi" w:cstheme="minorHAnsi"/>
        </w:rPr>
        <w:t xml:space="preserve">2) </w:t>
      </w:r>
      <w:r w:rsidR="006C3BBA" w:rsidRPr="00AC43DA">
        <w:rPr>
          <w:rFonts w:asciiTheme="minorHAnsi" w:hAnsiTheme="minorHAnsi" w:cstheme="minorHAnsi"/>
        </w:rPr>
        <w:t>melhoria, atualização e</w:t>
      </w:r>
      <w:r w:rsidR="009746DF" w:rsidRPr="00AC43DA">
        <w:rPr>
          <w:rFonts w:asciiTheme="minorHAnsi" w:hAnsiTheme="minorHAnsi" w:cstheme="minorHAnsi"/>
        </w:rPr>
        <w:t xml:space="preserve"> </w:t>
      </w:r>
      <w:r w:rsidR="006C3BBA" w:rsidRPr="00AC43DA">
        <w:rPr>
          <w:rFonts w:asciiTheme="minorHAnsi" w:hAnsiTheme="minorHAnsi" w:cstheme="minorHAnsi"/>
        </w:rPr>
        <w:t xml:space="preserve">adequação </w:t>
      </w:r>
      <w:r w:rsidR="00E96208" w:rsidRPr="00AC43DA">
        <w:rPr>
          <w:rFonts w:asciiTheme="minorHAnsi" w:hAnsiTheme="minorHAnsi" w:cstheme="minorHAnsi"/>
        </w:rPr>
        <w:t>legislativa; 3</w:t>
      </w:r>
      <w:r w:rsidR="009746DF" w:rsidRPr="00AC43DA">
        <w:rPr>
          <w:rFonts w:asciiTheme="minorHAnsi" w:hAnsiTheme="minorHAnsi" w:cstheme="minorHAnsi"/>
        </w:rPr>
        <w:t xml:space="preserve">) </w:t>
      </w:r>
      <w:r w:rsidRPr="00AC43DA">
        <w:rPr>
          <w:rFonts w:asciiTheme="minorHAnsi" w:hAnsiTheme="minorHAnsi" w:cstheme="minorHAnsi"/>
        </w:rPr>
        <w:t>conformidade com os princípios da administração pública</w:t>
      </w:r>
      <w:r w:rsidR="00E15984">
        <w:rPr>
          <w:rFonts w:asciiTheme="minorHAnsi" w:hAnsiTheme="minorHAnsi" w:cstheme="minorHAnsi"/>
        </w:rPr>
        <w:t xml:space="preserve"> (orçamentaria e de interesse público).</w:t>
      </w:r>
    </w:p>
    <w:p w14:paraId="3C7C87D0" w14:textId="77777777" w:rsidR="00CE76B5" w:rsidRPr="00AC43DA" w:rsidRDefault="00CE76B5" w:rsidP="00CE76B5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  <w:b/>
          <w:bCs/>
        </w:rPr>
      </w:pPr>
    </w:p>
    <w:p w14:paraId="5AC6D093" w14:textId="77777777" w:rsidR="00CE76B5" w:rsidRPr="00AC43DA" w:rsidRDefault="00CE76B5" w:rsidP="00CE76B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AC43DA">
        <w:rPr>
          <w:rFonts w:asciiTheme="minorHAnsi" w:hAnsiTheme="minorHAnsi" w:cstheme="minorHAnsi"/>
          <w:b/>
          <w:bCs/>
        </w:rPr>
        <w:t>1. DA COMPETÊNCIA E INICIATIVA LEGISLATIVA</w:t>
      </w:r>
    </w:p>
    <w:p w14:paraId="181B515D" w14:textId="77777777" w:rsidR="00B263FE" w:rsidRPr="00432F8A" w:rsidRDefault="00B263FE" w:rsidP="00B263F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>Inicialmente, cumpre ressaltar a prerrogativa do Chefe do Poder Executivo Municipal para a propositura do Projeto de Lei em tela. A matéria que disciplina normas de edificações, loteamentos, zoneamento urbano e rural, bem como as limitações urbanísticas atinentes à ordenação do território municipal, insere-se no âmbito da competência privativa do Prefeito, conforme expressa dicção do artigo 61, § 1º, inciso II, alíneas "a" e "c", da Constituição Federal. Tais dispositivos, de reprodução obrigatória pelos Municípios, por força do artigo 29 da CF/88, encontram-se espelhados nos artigos 6º, VI; 37, II; e 40, II, da Lei Orgânica Municipal de Passa Sete.</w:t>
      </w:r>
    </w:p>
    <w:p w14:paraId="719CD055" w14:textId="77777777" w:rsidR="00B263FE" w:rsidRPr="00432F8A" w:rsidRDefault="00B263FE" w:rsidP="00B263F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>A iniciativa para leis que versem sobre o uso e ocupação do solo, planejamento urbano e matéria urbanística em geral é tradicionalmente atribuída ao Poder Executivo, dada a sua expertise técnica e a sua capacidade de gestão e execução das políticas públicas de ordenamento territorial. A conformidade com este preceito constitucional e legal garante a validade formal do projeto.</w:t>
      </w:r>
    </w:p>
    <w:p w14:paraId="03D1CB54" w14:textId="2A018A8A" w:rsidR="00CE76B5" w:rsidRPr="00AC43DA" w:rsidRDefault="00CE76B5" w:rsidP="00CE76B5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</w:p>
    <w:p w14:paraId="182CA375" w14:textId="49EF9AF9" w:rsidR="00E96208" w:rsidRPr="00AC43DA" w:rsidRDefault="00E96208" w:rsidP="003C40A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AC43DA">
        <w:rPr>
          <w:rFonts w:asciiTheme="minorHAnsi" w:hAnsiTheme="minorHAnsi" w:cstheme="minorHAnsi"/>
          <w:b/>
          <w:bCs/>
        </w:rPr>
        <w:t xml:space="preserve">2. </w:t>
      </w:r>
      <w:r w:rsidR="00B263FE" w:rsidRPr="00B263FE">
        <w:rPr>
          <w:rFonts w:asciiTheme="minorHAnsi" w:hAnsiTheme="minorHAnsi" w:cstheme="minorHAnsi"/>
          <w:b/>
          <w:bCs/>
        </w:rPr>
        <w:t xml:space="preserve">DA ESPECIFICIDADE DAS ALTERAÇÕES PROPOSTAS E SEUS IMPACTOS </w:t>
      </w:r>
    </w:p>
    <w:p w14:paraId="74B9DA4A" w14:textId="77777777" w:rsidR="00CA1A1E" w:rsidRPr="00432F8A" w:rsidRDefault="00CA1A1E" w:rsidP="00CA1A1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>As modificações propostas à Lei n.º 56/1997, que visam aprimorar, atualizar e adequar a legislação municipal de parcelamento do solo, concentram-se principalmente na revisão dos percentuais de destinação de áreas para uso público e na clareza dos procedimentos, com os seguintes focos:</w:t>
      </w:r>
    </w:p>
    <w:p w14:paraId="619A0DA2" w14:textId="28B9815F" w:rsidR="00E96208" w:rsidRPr="00AC43DA" w:rsidRDefault="00E96208" w:rsidP="003C40A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>A primeira alteração proposta no artigo 12º, diz respeito ao percentual mínimo destinado (</w:t>
      </w:r>
      <w:r w:rsidRPr="00AC43DA">
        <w:rPr>
          <w:rFonts w:asciiTheme="minorHAnsi" w:hAnsiTheme="minorHAnsi" w:cstheme="minorHAnsi"/>
          <w:b/>
          <w:bCs/>
          <w:i/>
          <w:iCs/>
        </w:rPr>
        <w:t>i</w:t>
      </w:r>
      <w:r w:rsidRPr="00AC43DA">
        <w:rPr>
          <w:rFonts w:asciiTheme="minorHAnsi" w:hAnsiTheme="minorHAnsi" w:cstheme="minorHAnsi"/>
        </w:rPr>
        <w:t xml:space="preserve">) </w:t>
      </w:r>
      <w:r w:rsidRPr="00AC43DA">
        <w:rPr>
          <w:rFonts w:asciiTheme="minorHAnsi" w:hAnsiTheme="minorHAnsi" w:cstheme="minorHAnsi"/>
          <w:iCs/>
          <w:color w:val="333333"/>
          <w:shd w:val="clear" w:color="auto" w:fill="FFFFFF"/>
        </w:rPr>
        <w:t>aos sistemas de circulação (ruas, passeios e calçadas), (</w:t>
      </w:r>
      <w:proofErr w:type="spellStart"/>
      <w:r w:rsidRPr="00AC43DA">
        <w:rPr>
          <w:rFonts w:asciiTheme="minorHAnsi" w:hAnsiTheme="minorHAnsi" w:cstheme="minorHAnsi"/>
          <w:b/>
          <w:bCs/>
          <w:i/>
          <w:iCs/>
        </w:rPr>
        <w:t>ii</w:t>
      </w:r>
      <w:proofErr w:type="spellEnd"/>
      <w:r w:rsidRPr="00AC43DA">
        <w:rPr>
          <w:rFonts w:asciiTheme="minorHAnsi" w:hAnsiTheme="minorHAnsi" w:cstheme="minorHAnsi"/>
          <w:iCs/>
          <w:color w:val="333333"/>
          <w:shd w:val="clear" w:color="auto" w:fill="FFFFFF"/>
        </w:rPr>
        <w:t>) a implantação de equipamentos urbanos (abastecimento de água, serviços de esgoto, energia elétrica, internet, coletas de águas pluviais, rede telefônica, coleta de lixo, gás canalizado, entre outras desta natureza), (</w:t>
      </w:r>
      <w:proofErr w:type="spellStart"/>
      <w:r w:rsidRPr="00AC43DA">
        <w:rPr>
          <w:rFonts w:asciiTheme="minorHAnsi" w:hAnsiTheme="minorHAnsi" w:cstheme="minorHAnsi"/>
          <w:b/>
          <w:bCs/>
          <w:i/>
          <w:iCs/>
        </w:rPr>
        <w:t>iii</w:t>
      </w:r>
      <w:proofErr w:type="spellEnd"/>
      <w:r w:rsidRPr="00AC43DA">
        <w:rPr>
          <w:rFonts w:asciiTheme="minorHAnsi" w:hAnsiTheme="minorHAnsi" w:cstheme="minorHAnsi"/>
          <w:iCs/>
          <w:color w:val="333333"/>
          <w:shd w:val="clear" w:color="auto" w:fill="FFFFFF"/>
        </w:rPr>
        <w:t>) a implantação de equipamentos comunitários (educação, cultura, saúde, lazer e similares), e (</w:t>
      </w:r>
      <w:proofErr w:type="spellStart"/>
      <w:r w:rsidRPr="00AC43DA">
        <w:rPr>
          <w:rFonts w:asciiTheme="minorHAnsi" w:hAnsiTheme="minorHAnsi" w:cstheme="minorHAnsi"/>
          <w:b/>
          <w:bCs/>
          <w:i/>
          <w:iCs/>
        </w:rPr>
        <w:t>iv</w:t>
      </w:r>
      <w:proofErr w:type="spellEnd"/>
      <w:r w:rsidRPr="00AC43DA">
        <w:rPr>
          <w:rFonts w:asciiTheme="minorHAnsi" w:hAnsiTheme="minorHAnsi" w:cstheme="minorHAnsi"/>
          <w:iCs/>
          <w:color w:val="333333"/>
          <w:shd w:val="clear" w:color="auto" w:fill="FFFFFF"/>
        </w:rPr>
        <w:t>) espaços livres de uso público (praças, parques, jardins, etc.)</w:t>
      </w:r>
      <w:r w:rsidRPr="00AC43DA">
        <w:rPr>
          <w:rFonts w:asciiTheme="minorHAnsi" w:hAnsiTheme="minorHAnsi" w:cstheme="minorHAnsi"/>
        </w:rPr>
        <w:t xml:space="preserve">, que passa a ser, no geral, não inferior a 35% (trinta e cinco por cento) do total da gleba/área a ser loteada, e não </w:t>
      </w:r>
      <w:r w:rsidRPr="00AC43DA">
        <w:rPr>
          <w:rFonts w:asciiTheme="minorHAnsi" w:hAnsiTheme="minorHAnsi" w:cstheme="minorHAnsi"/>
        </w:rPr>
        <w:lastRenderedPageBreak/>
        <w:t>mais fracionado entre sistemas de circulação (15%) e demais espaços públicos (20%), como atualmente prevê os arts. 12 e 13 da Lei Municipal nº 56/1997.</w:t>
      </w:r>
    </w:p>
    <w:p w14:paraId="7D0BB7E4" w14:textId="459A9240" w:rsidR="00AC43DA" w:rsidRPr="00AC43DA" w:rsidRDefault="00AC43DA" w:rsidP="003C40A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0E74E47F" w14:textId="0322CC76" w:rsidR="00E96208" w:rsidRDefault="00E96208" w:rsidP="003C40A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A segunda alteração, </w:t>
      </w:r>
      <w:r w:rsidR="00AC43DA">
        <w:rPr>
          <w:rFonts w:asciiTheme="minorHAnsi" w:hAnsiTheme="minorHAnsi" w:cstheme="minorHAnsi"/>
        </w:rPr>
        <w:t xml:space="preserve">altera o art. 13º, </w:t>
      </w:r>
      <w:r w:rsidRPr="00AC43DA">
        <w:rPr>
          <w:rFonts w:asciiTheme="minorHAnsi" w:hAnsiTheme="minorHAnsi" w:cstheme="minorHAnsi"/>
        </w:rPr>
        <w:t xml:space="preserve">diz respeito ao percentual mínimo destinado a implantação de </w:t>
      </w:r>
      <w:r w:rsidRPr="00AC43DA">
        <w:rPr>
          <w:rFonts w:asciiTheme="minorHAnsi" w:hAnsiTheme="minorHAnsi" w:cstheme="minorHAnsi"/>
          <w:iCs/>
          <w:color w:val="333333"/>
          <w:shd w:val="clear" w:color="auto" w:fill="FFFFFF"/>
        </w:rPr>
        <w:t>equipamentos urbanos, equipamentos comunitários e espaços livres de uso público, que, em nenhuma hipótese, poderá ser inferior a 30%</w:t>
      </w:r>
      <w:r w:rsidRPr="00AC43DA">
        <w:rPr>
          <w:rFonts w:asciiTheme="minorHAnsi" w:hAnsiTheme="minorHAnsi" w:cstheme="minorHAnsi"/>
        </w:rPr>
        <w:t xml:space="preserve"> (trinta por cento) daquele percentual de 35% indicado no item anterior. Em outras palavras, se, num exemplo, os sistemas de circulação abarcarem a integralidade do percentual de 35% da área total a ser loteada, ainda, assim, o loteador deverá destinar, além dos 35%, não menos do que 30% daquele percentual para os espaços públicos e equipamentos (urbanos e comunitários), ampliando, por consequência, o percentual total destinado aos sistemas de circulação, implantação de equipamentos urbanos/comunitários e espaços de uso público, de modo que nenhum loteamento seja aprovado sem que esteja reservado o percentual mínimo de 35% entre sistemas de circulação, equipamentos urbanos, equipamentos comunitários e espaços livres de uso público. </w:t>
      </w:r>
    </w:p>
    <w:p w14:paraId="690A8648" w14:textId="77777777" w:rsidR="003C40A4" w:rsidRPr="00AC43DA" w:rsidRDefault="003C40A4" w:rsidP="003C40A4">
      <w:pPr>
        <w:spacing w:line="276" w:lineRule="auto"/>
        <w:jc w:val="both"/>
        <w:rPr>
          <w:rFonts w:asciiTheme="minorHAnsi" w:hAnsiTheme="minorHAnsi" w:cstheme="minorHAnsi"/>
        </w:rPr>
      </w:pPr>
    </w:p>
    <w:p w14:paraId="356E9DB3" w14:textId="323AA2F9" w:rsidR="00E96208" w:rsidRPr="00AC43DA" w:rsidRDefault="00E96208" w:rsidP="003C40A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Já a terceira alteração, </w:t>
      </w:r>
      <w:r w:rsidR="00AC43DA">
        <w:rPr>
          <w:rFonts w:asciiTheme="minorHAnsi" w:hAnsiTheme="minorHAnsi" w:cstheme="minorHAnsi"/>
        </w:rPr>
        <w:t xml:space="preserve">alteração do art. 14º, </w:t>
      </w:r>
      <w:r w:rsidRPr="00AC43DA">
        <w:rPr>
          <w:rFonts w:asciiTheme="minorHAnsi" w:hAnsiTheme="minorHAnsi" w:cstheme="minorHAnsi"/>
        </w:rPr>
        <w:t xml:space="preserve">diz respeito a forma como deve ser apresentado o projeto de loteamento, hipótese em que caberá a administração pública indicar, na respectiva planta, quando da apresentação do projeto, </w:t>
      </w:r>
      <w:r w:rsidRPr="00AC43DA">
        <w:rPr>
          <w:rFonts w:asciiTheme="minorHAnsi" w:hAnsiTheme="minorHAnsi" w:cstheme="minorHAnsi"/>
          <w:iCs/>
          <w:color w:val="333333"/>
          <w:shd w:val="clear" w:color="auto" w:fill="FFFFFF"/>
        </w:rPr>
        <w:t>os locais a serem reservados para os equipamentos urbanos, equipamentos comunitários e espaços livres de uso público, de sorte que haja proporção entre essas áreas e o número total de lotes que compõe o loteamento</w:t>
      </w:r>
      <w:r w:rsidRPr="00AC43DA">
        <w:rPr>
          <w:rFonts w:asciiTheme="minorHAnsi" w:hAnsiTheme="minorHAnsi" w:cstheme="minorHAnsi"/>
        </w:rPr>
        <w:t>.</w:t>
      </w:r>
    </w:p>
    <w:p w14:paraId="6FA4B364" w14:textId="77777777" w:rsidR="00E96208" w:rsidRPr="00AC43DA" w:rsidRDefault="00E96208" w:rsidP="003C40A4">
      <w:pPr>
        <w:spacing w:line="276" w:lineRule="auto"/>
        <w:ind w:firstLine="1418"/>
        <w:jc w:val="both"/>
        <w:rPr>
          <w:rFonts w:asciiTheme="minorHAnsi" w:hAnsiTheme="minorHAnsi" w:cstheme="minorHAnsi"/>
        </w:rPr>
      </w:pPr>
    </w:p>
    <w:p w14:paraId="1C82FB97" w14:textId="22375629" w:rsidR="00E96208" w:rsidRDefault="00E96208" w:rsidP="003C40A4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Por fim, </w:t>
      </w:r>
      <w:r w:rsidR="00AC43DA">
        <w:rPr>
          <w:rFonts w:asciiTheme="minorHAnsi" w:hAnsiTheme="minorHAnsi" w:cstheme="minorHAnsi"/>
        </w:rPr>
        <w:t>o projeto propõe</w:t>
      </w:r>
      <w:r w:rsidRPr="00AC43DA">
        <w:rPr>
          <w:rFonts w:asciiTheme="minorHAnsi" w:hAnsiTheme="minorHAnsi" w:cstheme="minorHAnsi"/>
        </w:rPr>
        <w:t xml:space="preserve"> nova redação ao art. 19 para definir que em casos de desmembramento de lotes, deve ser observado, no que couber, os mesmos dispositivos aplicáveis aos loteamentos, evitando, por consequência, o fracionamento irregular de lotes.</w:t>
      </w:r>
    </w:p>
    <w:p w14:paraId="324FD8CF" w14:textId="14E852D9" w:rsidR="00AC43DA" w:rsidRDefault="00AC43DA" w:rsidP="003C40A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2FBF024F" w14:textId="74BA122E" w:rsidR="00AC43DA" w:rsidRDefault="00AC43DA" w:rsidP="00AC43D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Abaixo demonstrado a redação atual e nova redação proposta</w:t>
      </w:r>
      <w:r w:rsidR="003C40A4">
        <w:rPr>
          <w:rFonts w:asciiTheme="minorHAnsi" w:hAnsiTheme="minorHAnsi" w:cstheme="minorHAnsi"/>
        </w:rPr>
        <w:t xml:space="preserve">, alterando os artigos, 12, 12, 14 e 19 da Lei nº </w:t>
      </w:r>
      <w:r w:rsidR="00CA1A1E">
        <w:rPr>
          <w:rFonts w:asciiTheme="minorHAnsi" w:hAnsiTheme="minorHAnsi" w:cstheme="minorHAnsi"/>
        </w:rPr>
        <w:t>56</w:t>
      </w:r>
      <w:r w:rsidR="003C40A4">
        <w:rPr>
          <w:rFonts w:asciiTheme="minorHAnsi" w:hAnsiTheme="minorHAnsi" w:cstheme="minorHAnsi"/>
        </w:rPr>
        <w:t>/1997:</w:t>
      </w:r>
    </w:p>
    <w:p w14:paraId="215853B7" w14:textId="77777777" w:rsidR="00CA1A1E" w:rsidRPr="00AC43DA" w:rsidRDefault="00CA1A1E" w:rsidP="00AC43DA">
      <w:pPr>
        <w:spacing w:line="360" w:lineRule="auto"/>
        <w:jc w:val="both"/>
        <w:rPr>
          <w:rFonts w:asciiTheme="minorHAnsi" w:hAnsiTheme="minorHAnsi" w:cstheme="minorHAnsi"/>
        </w:rPr>
      </w:pPr>
    </w:p>
    <w:p w14:paraId="67E01278" w14:textId="5640C1DB" w:rsidR="00AC43DA" w:rsidRPr="00AC43DA" w:rsidRDefault="00AC43DA" w:rsidP="00AC43DA">
      <w:pPr>
        <w:pStyle w:val="PargrafodaList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 xml:space="preserve">Redação atual art. 12º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>/1997:</w:t>
      </w:r>
      <w:r w:rsidRPr="00AC43DA">
        <w:rPr>
          <w:rFonts w:asciiTheme="minorHAnsi" w:hAnsiTheme="minorHAnsi" w:cstheme="minorHAnsi"/>
        </w:rPr>
        <w:t xml:space="preserve"> </w:t>
      </w:r>
      <w:r w:rsidRPr="00AC43DA">
        <w:rPr>
          <w:rFonts w:asciiTheme="minorHAnsi" w:hAnsiTheme="minorHAnsi" w:cstheme="minorHAnsi"/>
          <w:i/>
          <w:iCs/>
        </w:rPr>
        <w:t>Art. 12 Nenhum loteamento será aprovado sem que o proprietário da gleba doe ao Município, sem ônus de qualquer espécie, uma área institucional não inferior a 20% (vinte por cento) da área total, destinada à implantação de equipamento comunitário, bem como espaços livres de uso público.</w:t>
      </w:r>
    </w:p>
    <w:p w14:paraId="75F2CDCB" w14:textId="77777777" w:rsidR="00AC43DA" w:rsidRPr="00AC43DA" w:rsidRDefault="00AC43DA" w:rsidP="00AC43DA">
      <w:pPr>
        <w:tabs>
          <w:tab w:val="left" w:pos="993"/>
        </w:tabs>
        <w:ind w:firstLine="709"/>
        <w:jc w:val="both"/>
        <w:rPr>
          <w:rFonts w:asciiTheme="minorHAnsi" w:hAnsiTheme="minorHAnsi" w:cstheme="minorHAnsi"/>
          <w:i/>
          <w:iCs/>
        </w:rPr>
      </w:pPr>
      <w:r w:rsidRPr="00AC43DA">
        <w:rPr>
          <w:rFonts w:asciiTheme="minorHAnsi" w:hAnsiTheme="minorHAnsi" w:cstheme="minorHAnsi"/>
          <w:i/>
          <w:iCs/>
        </w:rPr>
        <w:t>Parágrafo único. Consideram-se comunitários os equipamentos públicos, de educação, cultura, saúde, lazer e similares.</w:t>
      </w:r>
    </w:p>
    <w:p w14:paraId="7ECDE518" w14:textId="77777777" w:rsidR="00AC43DA" w:rsidRDefault="00AC43DA" w:rsidP="00AC43DA">
      <w:pPr>
        <w:spacing w:line="360" w:lineRule="auto"/>
        <w:jc w:val="both"/>
        <w:rPr>
          <w:rFonts w:asciiTheme="minorHAnsi" w:hAnsiTheme="minorHAnsi" w:cstheme="minorHAnsi"/>
        </w:rPr>
      </w:pPr>
    </w:p>
    <w:p w14:paraId="759902A6" w14:textId="482A8592" w:rsidR="00E96208" w:rsidRDefault="00AC43DA" w:rsidP="00AC43DA">
      <w:pPr>
        <w:pStyle w:val="PargrafodaLista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 xml:space="preserve">Redação atual art. 13º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>/1997:</w:t>
      </w:r>
      <w:r>
        <w:rPr>
          <w:rFonts w:asciiTheme="minorHAnsi" w:hAnsiTheme="minorHAnsi" w:cstheme="minorHAnsi"/>
        </w:rPr>
        <w:t xml:space="preserve"> </w:t>
      </w:r>
      <w:r w:rsidRPr="00AC43DA">
        <w:rPr>
          <w:rFonts w:asciiTheme="minorHAnsi" w:hAnsiTheme="minorHAnsi" w:cstheme="minorHAnsi"/>
          <w:i/>
          <w:iCs/>
        </w:rPr>
        <w:t xml:space="preserve">Art. 13 Nenhum loteamento será aprovado </w:t>
      </w:r>
      <w:r w:rsidRPr="00AC43DA">
        <w:rPr>
          <w:rFonts w:asciiTheme="minorHAnsi" w:hAnsiTheme="minorHAnsi" w:cstheme="minorHAnsi"/>
          <w:i/>
          <w:iCs/>
        </w:rPr>
        <w:lastRenderedPageBreak/>
        <w:t>sem que o proprietário da gleba doe ao Município, sem qualquer espécie de ônus, uma área destinada ao sistema de circulação, não inferior a 15% (quinze por cento) da área total.</w:t>
      </w:r>
    </w:p>
    <w:p w14:paraId="5CAA55C2" w14:textId="77777777" w:rsidR="00AC43DA" w:rsidRPr="00AC43DA" w:rsidRDefault="00AC43DA" w:rsidP="00AC43DA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709"/>
        <w:jc w:val="both"/>
        <w:rPr>
          <w:rFonts w:asciiTheme="minorHAnsi" w:hAnsiTheme="minorHAnsi" w:cstheme="minorHAnsi"/>
          <w:i/>
          <w:iCs/>
        </w:rPr>
      </w:pPr>
    </w:p>
    <w:p w14:paraId="428ED7C6" w14:textId="6900F121" w:rsidR="00AC43DA" w:rsidRPr="00AC43DA" w:rsidRDefault="00AC43DA" w:rsidP="00AC43DA">
      <w:pPr>
        <w:pStyle w:val="PargrafodaLista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 xml:space="preserve">Redação atual art. 14º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>/1997:</w:t>
      </w:r>
      <w:r w:rsidRPr="00AC43DA">
        <w:rPr>
          <w:rFonts w:asciiTheme="minorHAnsi" w:hAnsiTheme="minorHAnsi" w:cstheme="minorHAnsi"/>
          <w:i/>
          <w:iCs/>
        </w:rPr>
        <w:t xml:space="preserve"> Art. 14 O Poder Público competente exigirá, sem prejuízo dos percentuais dos artigos 12 e 13 desta Lei, em cada loteamento, a reserva de faixa "non </w:t>
      </w:r>
      <w:proofErr w:type="spellStart"/>
      <w:r w:rsidRPr="00AC43DA">
        <w:rPr>
          <w:rFonts w:asciiTheme="minorHAnsi" w:hAnsiTheme="minorHAnsi" w:cstheme="minorHAnsi"/>
          <w:i/>
          <w:iCs/>
        </w:rPr>
        <w:t>edificanti</w:t>
      </w:r>
      <w:proofErr w:type="spellEnd"/>
      <w:r w:rsidRPr="00AC43DA">
        <w:rPr>
          <w:rFonts w:asciiTheme="minorHAnsi" w:hAnsiTheme="minorHAnsi" w:cstheme="minorHAnsi"/>
          <w:i/>
          <w:iCs/>
        </w:rPr>
        <w:t>" necessária a equipamentos urbanos.</w:t>
      </w:r>
    </w:p>
    <w:p w14:paraId="66FD911A" w14:textId="44323CB6" w:rsidR="00AC43DA" w:rsidRPr="00AC43DA" w:rsidRDefault="00AC43DA" w:rsidP="00AC43DA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709"/>
        <w:jc w:val="both"/>
        <w:rPr>
          <w:rFonts w:asciiTheme="minorHAnsi" w:hAnsiTheme="minorHAnsi" w:cstheme="minorHAnsi"/>
          <w:i/>
          <w:iCs/>
        </w:rPr>
      </w:pPr>
      <w:r w:rsidRPr="00AC43DA">
        <w:rPr>
          <w:rFonts w:asciiTheme="minorHAnsi" w:hAnsiTheme="minorHAnsi" w:cstheme="minorHAnsi"/>
          <w:i/>
          <w:iCs/>
        </w:rPr>
        <w:t>§ 1º Aplicam-se ao desmembramento, no que couber, as exigências deste artigo.</w:t>
      </w:r>
    </w:p>
    <w:p w14:paraId="7E3BD9E3" w14:textId="608B5E03" w:rsidR="00E96208" w:rsidRDefault="00AC43DA" w:rsidP="00AC43DA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AC43DA">
        <w:rPr>
          <w:rFonts w:asciiTheme="minorHAnsi" w:hAnsiTheme="minorHAnsi" w:cstheme="minorHAnsi"/>
          <w:i/>
          <w:iCs/>
        </w:rPr>
        <w:t>§ 2º Consideram-se urbanos os equipamentos públicos de abastecimento de água, serviços de esgotos, energia elétrica, coletas de águas pluviais, rede telefônica, coleta de lixo e gás canalizado.</w:t>
      </w:r>
    </w:p>
    <w:p w14:paraId="5DA29253" w14:textId="77777777" w:rsidR="003C40A4" w:rsidRPr="00AC43DA" w:rsidRDefault="003C40A4" w:rsidP="00AC43DA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</w:p>
    <w:p w14:paraId="6C32649C" w14:textId="60314983" w:rsidR="003C40A4" w:rsidRDefault="00AC43DA" w:rsidP="00CA1A1E">
      <w:pPr>
        <w:pStyle w:val="PargrafodaList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>Redação atual art. 1</w:t>
      </w:r>
      <w:r w:rsidR="003C40A4" w:rsidRPr="003C40A4">
        <w:rPr>
          <w:rFonts w:asciiTheme="minorHAnsi" w:hAnsiTheme="minorHAnsi" w:cstheme="minorHAnsi"/>
          <w:b/>
          <w:bCs/>
        </w:rPr>
        <w:t>9</w:t>
      </w:r>
      <w:r w:rsidRPr="003C40A4">
        <w:rPr>
          <w:rFonts w:asciiTheme="minorHAnsi" w:hAnsiTheme="minorHAnsi" w:cstheme="minorHAnsi"/>
          <w:b/>
          <w:bCs/>
        </w:rPr>
        <w:t xml:space="preserve">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>/1997</w:t>
      </w:r>
      <w:r w:rsidRPr="003C40A4">
        <w:rPr>
          <w:rFonts w:asciiTheme="minorHAnsi" w:hAnsiTheme="minorHAnsi" w:cstheme="minorHAnsi"/>
          <w:b/>
          <w:bCs/>
          <w:i/>
          <w:iCs/>
        </w:rPr>
        <w:t>:</w:t>
      </w:r>
      <w:r w:rsidR="003C40A4" w:rsidRPr="003C40A4">
        <w:rPr>
          <w:rFonts w:asciiTheme="minorHAnsi" w:hAnsiTheme="minorHAnsi" w:cstheme="minorHAnsi"/>
          <w:i/>
          <w:iCs/>
        </w:rPr>
        <w:t xml:space="preserve"> Art. 19 Aplicam-se aos desmembramentos urbanos as exigências estabelecidas nos artigos 11, 17 desta Lei, no que couber.</w:t>
      </w:r>
    </w:p>
    <w:p w14:paraId="5DDE1CFA" w14:textId="77777777" w:rsidR="00CA1A1E" w:rsidRPr="00CA1A1E" w:rsidRDefault="00CA1A1E" w:rsidP="00CA1A1E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709"/>
        <w:jc w:val="both"/>
        <w:rPr>
          <w:rFonts w:asciiTheme="minorHAnsi" w:hAnsiTheme="minorHAnsi" w:cstheme="minorHAnsi"/>
          <w:i/>
          <w:iCs/>
        </w:rPr>
      </w:pPr>
    </w:p>
    <w:p w14:paraId="336E1915" w14:textId="3CCC3B77" w:rsidR="003C40A4" w:rsidRPr="003C40A4" w:rsidRDefault="003C40A4" w:rsidP="003C40A4">
      <w:pPr>
        <w:pStyle w:val="PargrafodaList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 xml:space="preserve">Nova Redação proposta para o art. 12º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>/1997:</w:t>
      </w:r>
      <w:r>
        <w:rPr>
          <w:rFonts w:asciiTheme="minorHAnsi" w:hAnsiTheme="minorHAnsi" w:cstheme="minorHAnsi"/>
        </w:rPr>
        <w:t xml:space="preserve"> </w:t>
      </w:r>
      <w:r w:rsidRPr="003C40A4">
        <w:rPr>
          <w:rFonts w:asciiTheme="minorHAnsi" w:hAnsiTheme="minorHAnsi" w:cstheme="minorHAnsi"/>
          <w:i/>
          <w:iCs/>
        </w:rPr>
        <w:t>Art. 12</w:t>
      </w:r>
      <w:r>
        <w:rPr>
          <w:rFonts w:asciiTheme="minorHAnsi" w:hAnsiTheme="minorHAnsi" w:cstheme="minorHAnsi"/>
          <w:i/>
          <w:iCs/>
        </w:rPr>
        <w:t>º</w:t>
      </w:r>
      <w:r w:rsidRPr="003C40A4">
        <w:rPr>
          <w:rFonts w:asciiTheme="minorHAnsi" w:hAnsiTheme="minorHAnsi" w:cstheme="minorHAnsi"/>
          <w:i/>
          <w:iCs/>
        </w:rPr>
        <w:t>. Nenhum projeto de loteamento será aprovado sem que o proprietário da gleba destine ao Município, sem ônus de qualquer espécie, uma área institucional não inferior a 35% (trinta e cinco por cento) da área total a ser loteada, destinada exclusivamente aos sistemas de circulação, implantação de equipamentos urbanos, implantação de equipamentos comunitários e espaços livres de uso público.</w:t>
      </w:r>
    </w:p>
    <w:p w14:paraId="21C514EB" w14:textId="77777777" w:rsidR="003C40A4" w:rsidRPr="003C40A4" w:rsidRDefault="003C40A4" w:rsidP="003C40A4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709"/>
        <w:jc w:val="both"/>
        <w:rPr>
          <w:rFonts w:asciiTheme="minorHAnsi" w:hAnsiTheme="minorHAnsi" w:cstheme="minorHAnsi"/>
        </w:rPr>
      </w:pPr>
    </w:p>
    <w:p w14:paraId="20C0507E" w14:textId="0BF02C06" w:rsidR="003C40A4" w:rsidRPr="003C40A4" w:rsidRDefault="003C40A4" w:rsidP="003C40A4">
      <w:pPr>
        <w:pStyle w:val="PargrafodaList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 xml:space="preserve">Nova Redação proposta para o art. 13º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 xml:space="preserve">/1997:  </w:t>
      </w:r>
      <w:r w:rsidRPr="003C40A4">
        <w:rPr>
          <w:rFonts w:asciiTheme="minorHAnsi" w:hAnsiTheme="minorHAnsi" w:cstheme="minorHAnsi"/>
          <w:i/>
          <w:iCs/>
        </w:rPr>
        <w:t>Art. 13º. Em nenhuma hipótese a área institucional destinada a implantação de equipamentos urbanos, equipamentos comunitários e espaços livres de uso público poderá ser inferior a 30% (trinta por cento) da porcentagem mínima prevista no art. 12, desta Lei.</w:t>
      </w:r>
    </w:p>
    <w:p w14:paraId="0CDCB271" w14:textId="77777777" w:rsidR="003C40A4" w:rsidRPr="003C40A4" w:rsidRDefault="003C40A4" w:rsidP="003C40A4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709"/>
        <w:jc w:val="both"/>
        <w:rPr>
          <w:rFonts w:asciiTheme="minorHAnsi" w:hAnsiTheme="minorHAnsi" w:cstheme="minorHAnsi"/>
        </w:rPr>
      </w:pPr>
    </w:p>
    <w:p w14:paraId="5609E10F" w14:textId="7AAF961A" w:rsidR="003C40A4" w:rsidRPr="003C40A4" w:rsidRDefault="003C40A4" w:rsidP="003C40A4">
      <w:pPr>
        <w:pStyle w:val="PargrafodaList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 xml:space="preserve">Nova Redação proposta para o art. 14º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>/1997:</w:t>
      </w:r>
      <w:r>
        <w:rPr>
          <w:rFonts w:asciiTheme="minorHAnsi" w:hAnsiTheme="minorHAnsi" w:cstheme="minorHAnsi"/>
        </w:rPr>
        <w:t xml:space="preserve"> </w:t>
      </w:r>
      <w:r w:rsidRPr="003C40A4">
        <w:rPr>
          <w:rFonts w:asciiTheme="minorHAnsi" w:hAnsiTheme="minorHAnsi" w:cstheme="minorHAnsi"/>
          <w:i/>
          <w:iCs/>
        </w:rPr>
        <w:t>Art. 14º. Caberá a administração municipal estabelecer, na respectiva planta, ao lhe ser encaminhado o projeto de loteamento, os locais a serem reservados para a implantação de equipamentos urbanos, equipamentos comunitários e espaços livres de uso público, de sorte que haja proporção entre essas áreas e o número total de lotes.</w:t>
      </w:r>
    </w:p>
    <w:p w14:paraId="303B58E2" w14:textId="4331057D" w:rsidR="003C40A4" w:rsidRPr="003C40A4" w:rsidRDefault="003C40A4" w:rsidP="003C40A4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i/>
          <w:iCs/>
        </w:rPr>
        <w:t>Parágrafo único. Nos termos do art. 22 da Lei Federal nº 6.766/79, os espaços reservados aos sistemas de circulação, implantação de equipamentos urbanos, implantação de equipamentos comunitários e espaços livres de uso público, passam a integrar o domínio do Município a partir do registro do loteamento no Registro de Imóveis.</w:t>
      </w:r>
    </w:p>
    <w:p w14:paraId="6FCD9989" w14:textId="77777777" w:rsidR="003C40A4" w:rsidRPr="003C40A4" w:rsidRDefault="003C40A4" w:rsidP="003C40A4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1429"/>
        <w:jc w:val="both"/>
        <w:rPr>
          <w:rFonts w:asciiTheme="minorHAnsi" w:hAnsiTheme="minorHAnsi" w:cstheme="minorHAnsi"/>
        </w:rPr>
      </w:pPr>
    </w:p>
    <w:p w14:paraId="789BC37C" w14:textId="5383E645" w:rsidR="00CA1A1E" w:rsidRPr="00CA1A1E" w:rsidRDefault="003C40A4" w:rsidP="00CA1A1E">
      <w:pPr>
        <w:pStyle w:val="PargrafodaList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  <w:i/>
          <w:iCs/>
        </w:rPr>
      </w:pPr>
      <w:r w:rsidRPr="003C40A4">
        <w:rPr>
          <w:rFonts w:asciiTheme="minorHAnsi" w:hAnsiTheme="minorHAnsi" w:cstheme="minorHAnsi"/>
          <w:b/>
          <w:bCs/>
        </w:rPr>
        <w:t xml:space="preserve">Nova Redação proposta para o art. 19º da Lei nº </w:t>
      </w:r>
      <w:r w:rsidR="00CA1A1E">
        <w:rPr>
          <w:rFonts w:asciiTheme="minorHAnsi" w:hAnsiTheme="minorHAnsi" w:cstheme="minorHAnsi"/>
          <w:b/>
          <w:bCs/>
        </w:rPr>
        <w:t>56</w:t>
      </w:r>
      <w:r w:rsidRPr="003C40A4">
        <w:rPr>
          <w:rFonts w:asciiTheme="minorHAnsi" w:hAnsiTheme="minorHAnsi" w:cstheme="minorHAnsi"/>
          <w:b/>
          <w:bCs/>
        </w:rPr>
        <w:t>/1997:</w:t>
      </w:r>
      <w:r>
        <w:rPr>
          <w:rFonts w:asciiTheme="minorHAnsi" w:hAnsiTheme="minorHAnsi" w:cstheme="minorHAnsi"/>
        </w:rPr>
        <w:t xml:space="preserve"> </w:t>
      </w:r>
      <w:r w:rsidRPr="003C40A4">
        <w:rPr>
          <w:rFonts w:asciiTheme="minorHAnsi" w:hAnsiTheme="minorHAnsi" w:cstheme="minorHAnsi"/>
          <w:i/>
          <w:iCs/>
        </w:rPr>
        <w:t>Art. 19º. Aplicam-se aos desmembramentos as exigências estabelecidas nos artigos 11 a 17 desta Lei, no que couber.</w:t>
      </w:r>
    </w:p>
    <w:p w14:paraId="542A2269" w14:textId="2FFB1DA0" w:rsidR="00CA1A1E" w:rsidRPr="00432F8A" w:rsidRDefault="00CA1A1E" w:rsidP="00CA1A1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 xml:space="preserve">A presente análise técnica e jurídica indica que as alterações propostas buscam uma atualização e adequação dos dispositivos que regem os loteamentos no município. A legislação atual, ao prever percentuais de doação que, em algumas interpretações, poderiam ultrapassar 50% da área total a ser loteada, torna-se um entrave significativo para o desenvolvimento de </w:t>
      </w:r>
      <w:r w:rsidRPr="00432F8A">
        <w:rPr>
          <w:rFonts w:asciiTheme="minorHAnsi" w:hAnsiTheme="minorHAnsi" w:cstheme="minorHAnsi"/>
        </w:rPr>
        <w:lastRenderedPageBreak/>
        <w:t>novos empreendimentos. A nova redação, ao estabelecer um percentual máximo de doação ao município em 35% (trinta e cinco por cento), conjugado com a exigência proporcional para equipamentos e espaços livres, viabiliza novos investimentos.</w:t>
      </w:r>
    </w:p>
    <w:p w14:paraId="6F76F0CE" w14:textId="77777777" w:rsidR="00CA1A1E" w:rsidRPr="00432F8A" w:rsidRDefault="00CA1A1E" w:rsidP="00CA1A1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>A simplificação e clareza nos percentuais, aliado à indicação mais precisa de como estes se darão, são fatores que podem destravar projetos, atrair investidores e, consequentemente, gerar arrecadação municipal a médio e longo prazo. Além disso, a ampliação da oferta de lotes regularizados e a melhoria da infraestrutura urbana tendem a reter e atrair população para o município, comba</w:t>
      </w:r>
      <w:r>
        <w:rPr>
          <w:rFonts w:cstheme="minorHAnsi"/>
        </w:rPr>
        <w:t xml:space="preserve">tendo </w:t>
      </w:r>
      <w:r w:rsidRPr="00432F8A">
        <w:rPr>
          <w:rFonts w:asciiTheme="minorHAnsi" w:hAnsiTheme="minorHAnsi" w:cstheme="minorHAnsi"/>
        </w:rPr>
        <w:t>a perda de moradores para cidades vizinhas devido à escassez de imóveis.</w:t>
      </w:r>
    </w:p>
    <w:p w14:paraId="405B5DEF" w14:textId="77777777" w:rsidR="00CA02F7" w:rsidRPr="00CA02F7" w:rsidRDefault="00CA02F7" w:rsidP="00CA02F7">
      <w:pPr>
        <w:pStyle w:val="PargrafodaLista"/>
        <w:widowControl w:val="0"/>
        <w:tabs>
          <w:tab w:val="left" w:pos="993"/>
        </w:tabs>
        <w:autoSpaceDE w:val="0"/>
        <w:autoSpaceDN w:val="0"/>
        <w:adjustRightInd w:val="0"/>
        <w:spacing w:after="200"/>
        <w:ind w:left="0" w:firstLine="709"/>
        <w:jc w:val="both"/>
        <w:rPr>
          <w:rFonts w:asciiTheme="minorHAnsi" w:hAnsiTheme="minorHAnsi" w:cstheme="minorHAnsi"/>
        </w:rPr>
      </w:pPr>
    </w:p>
    <w:p w14:paraId="07620109" w14:textId="367686DB" w:rsidR="00CA1A1E" w:rsidRPr="00CA1A1E" w:rsidRDefault="00CE76B5" w:rsidP="00CA1A1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AC43DA">
        <w:rPr>
          <w:rFonts w:asciiTheme="minorHAnsi" w:hAnsiTheme="minorHAnsi" w:cstheme="minorHAnsi"/>
          <w:b/>
          <w:bCs/>
        </w:rPr>
        <w:t>3. DA ADEQUAÇÃO ORÇAMENTÁRIA E FINANCEIRA</w:t>
      </w:r>
      <w:r w:rsidR="00CA1A1E">
        <w:rPr>
          <w:rFonts w:asciiTheme="minorHAnsi" w:hAnsiTheme="minorHAnsi" w:cstheme="minorHAnsi"/>
          <w:b/>
          <w:bCs/>
        </w:rPr>
        <w:t xml:space="preserve"> E DO INTERESSE PÚBLICO</w:t>
      </w:r>
    </w:p>
    <w:p w14:paraId="685D2856" w14:textId="7C204E74" w:rsidR="00CA1A1E" w:rsidRPr="00432F8A" w:rsidRDefault="00CA1A1E" w:rsidP="00CA1A1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>As alterações propostas não geram despesa para o Município, ao contrário, representam um forte potencial de incremento de arrecadação a médio e longo prazo, pela viabilização de novos empreendimentos e consequente aumento da base tributária. Portanto, o projeto se alinha com os princípios da adequação orçamentária e financeira para sua aprovação.</w:t>
      </w:r>
    </w:p>
    <w:p w14:paraId="4A058E7F" w14:textId="7E6EC29B" w:rsidR="00CE76B5" w:rsidRPr="00CA1A1E" w:rsidRDefault="00CA1A1E" w:rsidP="00CA1A1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cstheme="minorHAnsi"/>
        </w:rPr>
      </w:pPr>
      <w:r w:rsidRPr="00432F8A">
        <w:rPr>
          <w:rFonts w:asciiTheme="minorHAnsi" w:hAnsiTheme="minorHAnsi" w:cstheme="minorHAnsi"/>
        </w:rPr>
        <w:t>Ademais, resta evidente o atendimento ao interesse público. O aprimoramento da legislação de parcelamento do solo trará benefícios diretos à comunidade, como a ampliação da oferta habitacional, a melhoria da infraestrutura urbana (</w:t>
      </w:r>
      <w:proofErr w:type="spellStart"/>
      <w:r w:rsidRPr="00432F8A">
        <w:rPr>
          <w:rFonts w:asciiTheme="minorHAnsi" w:hAnsiTheme="minorHAnsi" w:cstheme="minorHAnsi"/>
        </w:rPr>
        <w:t>ex</w:t>
      </w:r>
      <w:proofErr w:type="spellEnd"/>
      <w:r w:rsidRPr="00432F8A">
        <w:rPr>
          <w:rFonts w:asciiTheme="minorHAnsi" w:hAnsiTheme="minorHAnsi" w:cstheme="minorHAnsi"/>
        </w:rPr>
        <w:t xml:space="preserve">: rede de água, esgoto, energia) e a disponibilidade de áreas para equipamentos comunitários e espaços de lazer. A adequação das exigências legais, mantendo o controle urbanístico, demonstra razoabilidade e proporcionalidade na busca do desenvolvimento equilibrado do município. </w:t>
      </w:r>
    </w:p>
    <w:p w14:paraId="0B81CA00" w14:textId="4A7E37B3" w:rsidR="006A3D33" w:rsidRPr="00AC43DA" w:rsidRDefault="006A3D33" w:rsidP="001106FB">
      <w:pPr>
        <w:pStyle w:val="Corpodetexto"/>
        <w:tabs>
          <w:tab w:val="left" w:pos="709"/>
        </w:tabs>
        <w:spacing w:after="0" w:line="276" w:lineRule="auto"/>
        <w:jc w:val="both"/>
        <w:rPr>
          <w:rFonts w:asciiTheme="minorHAnsi" w:hAnsiTheme="minorHAnsi" w:cstheme="minorHAnsi"/>
        </w:rPr>
      </w:pPr>
    </w:p>
    <w:p w14:paraId="60860FF1" w14:textId="77777777" w:rsidR="006A3D33" w:rsidRPr="00AC43DA" w:rsidRDefault="006A3D33" w:rsidP="001106FB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Theme="minorHAnsi" w:hAnsiTheme="minorHAnsi" w:cstheme="minorHAnsi"/>
          <w:b/>
        </w:rPr>
      </w:pPr>
    </w:p>
    <w:p w14:paraId="35FB30B1" w14:textId="10DFE8F0" w:rsidR="002E7078" w:rsidRPr="00AC43DA" w:rsidRDefault="002E7078" w:rsidP="007A4C32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</w:rPr>
      </w:pPr>
      <w:r w:rsidRPr="00AC43DA">
        <w:rPr>
          <w:rFonts w:asciiTheme="minorHAnsi" w:hAnsiTheme="minorHAnsi" w:cstheme="minorHAnsi"/>
          <w:b/>
        </w:rPr>
        <w:t>CONCLUSÃO</w:t>
      </w:r>
    </w:p>
    <w:p w14:paraId="01ED35D1" w14:textId="77777777" w:rsidR="001375EC" w:rsidRPr="00AC43DA" w:rsidRDefault="001375EC" w:rsidP="00F64CC0">
      <w:pPr>
        <w:pStyle w:val="Recuodecorpodetexto3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55B86B8" w14:textId="07168B02" w:rsidR="001106FB" w:rsidRDefault="001106FB" w:rsidP="001106FB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Diante do exposto e em face da análise técnica e jurídica procedida, este Parecer conclui pela legalidade e juridicidade do Projeto de Lei nº </w:t>
      </w:r>
      <w:r w:rsidR="00E15984">
        <w:rPr>
          <w:rFonts w:asciiTheme="minorHAnsi" w:hAnsiTheme="minorHAnsi" w:cstheme="minorHAnsi"/>
        </w:rPr>
        <w:t>026</w:t>
      </w:r>
      <w:r w:rsidRPr="00AC43DA">
        <w:rPr>
          <w:rFonts w:asciiTheme="minorHAnsi" w:hAnsiTheme="minorHAnsi" w:cstheme="minorHAnsi"/>
        </w:rPr>
        <w:t xml:space="preserve">/2026. </w:t>
      </w:r>
    </w:p>
    <w:p w14:paraId="06DF7218" w14:textId="0185DA95" w:rsidR="00CA1A1E" w:rsidRPr="00AC43DA" w:rsidRDefault="00CA1A1E" w:rsidP="00CA1A1E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432F8A">
        <w:rPr>
          <w:rFonts w:asciiTheme="minorHAnsi" w:hAnsiTheme="minorHAnsi" w:cstheme="minorHAnsi"/>
        </w:rPr>
        <w:t xml:space="preserve">Restaram plenamente atendidos os pressupostos legais e constitucionais inerentes à matéria, notadamente a competência de iniciativa do Poder Executivo, a conformidade com as diretrizes de desenvolvimento urbano, a adequação orçamentária e o inequívoco interesse público. As propostas de alteração demonstram um esforço em modernizar a legislação, promover o desenvolvimento sustentável e atender às demandas da população, sem descurar </w:t>
      </w:r>
      <w:r w:rsidRPr="00432F8A">
        <w:rPr>
          <w:rFonts w:asciiTheme="minorHAnsi" w:hAnsiTheme="minorHAnsi" w:cstheme="minorHAnsi"/>
        </w:rPr>
        <w:lastRenderedPageBreak/>
        <w:t>do ordenamento territorial.</w:t>
      </w:r>
    </w:p>
    <w:p w14:paraId="5CFF5D2E" w14:textId="2CFF7F1C" w:rsidR="001106FB" w:rsidRPr="00AC43DA" w:rsidRDefault="001106FB" w:rsidP="001106FB">
      <w:pPr>
        <w:widowControl w:val="0"/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Assim sendo, considerando-se a adequação material e formal da proposta legislativa, este jurídico manifesta </w:t>
      </w:r>
      <w:r w:rsidRPr="00CA1A1E">
        <w:rPr>
          <w:rFonts w:asciiTheme="minorHAnsi" w:hAnsiTheme="minorHAnsi" w:cstheme="minorHAnsi"/>
          <w:b/>
          <w:bCs/>
        </w:rPr>
        <w:t>PARECER FAVORÁVEL ao Projeto de Lei nº 0</w:t>
      </w:r>
      <w:r w:rsidR="00E15984" w:rsidRPr="00CA1A1E">
        <w:rPr>
          <w:rFonts w:asciiTheme="minorHAnsi" w:hAnsiTheme="minorHAnsi" w:cstheme="minorHAnsi"/>
          <w:b/>
          <w:bCs/>
        </w:rPr>
        <w:t>26</w:t>
      </w:r>
      <w:r w:rsidRPr="00CA1A1E">
        <w:rPr>
          <w:rFonts w:asciiTheme="minorHAnsi" w:hAnsiTheme="minorHAnsi" w:cstheme="minorHAnsi"/>
          <w:b/>
          <w:bCs/>
        </w:rPr>
        <w:t>/2026</w:t>
      </w:r>
      <w:r w:rsidRPr="00AC43DA">
        <w:rPr>
          <w:rFonts w:asciiTheme="minorHAnsi" w:hAnsiTheme="minorHAnsi" w:cstheme="minorHAnsi"/>
        </w:rPr>
        <w:t>, submetendo-o à apreciação superior.</w:t>
      </w:r>
    </w:p>
    <w:p w14:paraId="3310E461" w14:textId="77777777" w:rsidR="001375EC" w:rsidRPr="00AC43DA" w:rsidRDefault="001375EC" w:rsidP="00F64CC0">
      <w:pPr>
        <w:pStyle w:val="Recuodecorpodetexto3"/>
        <w:spacing w:after="0" w:line="276" w:lineRule="auto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9C026E6" w14:textId="3014A0F7" w:rsidR="001375EC" w:rsidRPr="00AC43DA" w:rsidRDefault="001375EC" w:rsidP="00F64CC0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>É o parecer submetido à apreciação superior.</w:t>
      </w:r>
    </w:p>
    <w:p w14:paraId="744052A5" w14:textId="1DB9DD76" w:rsidR="002E7078" w:rsidRPr="00AC43DA" w:rsidRDefault="002E7078" w:rsidP="00F64CC0">
      <w:pPr>
        <w:pStyle w:val="Recuodecorpodetexto3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71CB2F" w14:textId="77777777" w:rsidR="00661338" w:rsidRPr="00AC43DA" w:rsidRDefault="00661338" w:rsidP="00F64CC0">
      <w:pPr>
        <w:pStyle w:val="Recuodecorpodetexto3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BB7B92" w14:textId="77777777" w:rsidR="001375EC" w:rsidRPr="00AC43DA" w:rsidRDefault="001375EC" w:rsidP="00F64CC0">
      <w:pPr>
        <w:pStyle w:val="Recuodecorpodetexto3"/>
        <w:spacing w:after="0" w:line="276" w:lineRule="auto"/>
        <w:ind w:left="0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62AF7F33" w14:textId="03F324A8" w:rsidR="002E7078" w:rsidRPr="00AC43DA" w:rsidRDefault="002E7078" w:rsidP="003E668A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>Passa Sete</w:t>
      </w:r>
      <w:r w:rsidR="001375EC" w:rsidRPr="00AC43DA">
        <w:rPr>
          <w:rFonts w:asciiTheme="minorHAnsi" w:hAnsiTheme="minorHAnsi" w:cstheme="minorHAnsi"/>
        </w:rPr>
        <w:t>/RS</w:t>
      </w:r>
      <w:r w:rsidRPr="00AC43DA">
        <w:rPr>
          <w:rFonts w:asciiTheme="minorHAnsi" w:hAnsiTheme="minorHAnsi" w:cstheme="minorHAnsi"/>
        </w:rPr>
        <w:t xml:space="preserve">, </w:t>
      </w:r>
      <w:r w:rsidR="00E15984">
        <w:rPr>
          <w:rFonts w:asciiTheme="minorHAnsi" w:hAnsiTheme="minorHAnsi" w:cstheme="minorHAnsi"/>
        </w:rPr>
        <w:t>04 de maio</w:t>
      </w:r>
      <w:r w:rsidR="001375EC" w:rsidRPr="00AC43DA">
        <w:rPr>
          <w:rFonts w:asciiTheme="minorHAnsi" w:hAnsiTheme="minorHAnsi" w:cstheme="minorHAnsi"/>
        </w:rPr>
        <w:t xml:space="preserve"> de 2026</w:t>
      </w:r>
      <w:r w:rsidR="001106FB" w:rsidRPr="00AC43DA">
        <w:rPr>
          <w:rFonts w:asciiTheme="minorHAnsi" w:hAnsiTheme="minorHAnsi" w:cstheme="minorHAnsi"/>
        </w:rPr>
        <w:t>.</w:t>
      </w:r>
    </w:p>
    <w:p w14:paraId="01AFA544" w14:textId="36A51722" w:rsidR="002E7078" w:rsidRPr="00AC43DA" w:rsidRDefault="002E7078" w:rsidP="00F64CC0">
      <w:pPr>
        <w:spacing w:line="276" w:lineRule="auto"/>
        <w:jc w:val="center"/>
        <w:rPr>
          <w:rFonts w:asciiTheme="minorHAnsi" w:hAnsiTheme="minorHAnsi" w:cstheme="minorHAnsi"/>
        </w:rPr>
      </w:pPr>
    </w:p>
    <w:p w14:paraId="767554FB" w14:textId="77777777" w:rsidR="006A3D33" w:rsidRPr="00AC43DA" w:rsidRDefault="006A3D33" w:rsidP="00F64CC0">
      <w:pPr>
        <w:spacing w:line="276" w:lineRule="auto"/>
        <w:jc w:val="center"/>
        <w:rPr>
          <w:rFonts w:asciiTheme="minorHAnsi" w:hAnsiTheme="minorHAnsi" w:cstheme="minorHAnsi"/>
        </w:rPr>
      </w:pPr>
    </w:p>
    <w:p w14:paraId="744C27FE" w14:textId="77777777" w:rsidR="006B7741" w:rsidRPr="00AC43DA" w:rsidRDefault="006B7741" w:rsidP="00F64CC0">
      <w:pPr>
        <w:spacing w:line="276" w:lineRule="auto"/>
        <w:jc w:val="center"/>
        <w:rPr>
          <w:rFonts w:asciiTheme="minorHAnsi" w:hAnsiTheme="minorHAnsi" w:cstheme="minorHAnsi"/>
        </w:rPr>
      </w:pPr>
    </w:p>
    <w:p w14:paraId="28A733FC" w14:textId="28CD0D4A" w:rsidR="002E7078" w:rsidRPr="00AC43DA" w:rsidRDefault="001375EC" w:rsidP="00F64CC0">
      <w:pPr>
        <w:spacing w:line="276" w:lineRule="auto"/>
        <w:jc w:val="center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>ALEX JUNIOR DIMER</w:t>
      </w:r>
    </w:p>
    <w:p w14:paraId="31821600" w14:textId="2342289A" w:rsidR="002E7078" w:rsidRPr="00AC43DA" w:rsidRDefault="002E7078" w:rsidP="00F64CC0">
      <w:pPr>
        <w:spacing w:line="276" w:lineRule="auto"/>
        <w:jc w:val="center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>Assessor Jurídic</w:t>
      </w:r>
      <w:r w:rsidR="001375EC" w:rsidRPr="00AC43DA">
        <w:rPr>
          <w:rFonts w:asciiTheme="minorHAnsi" w:hAnsiTheme="minorHAnsi" w:cstheme="minorHAnsi"/>
        </w:rPr>
        <w:t>o</w:t>
      </w:r>
    </w:p>
    <w:p w14:paraId="6692D477" w14:textId="66844128" w:rsidR="002E7078" w:rsidRPr="00AC43DA" w:rsidRDefault="002E7078" w:rsidP="00F64CC0">
      <w:pPr>
        <w:spacing w:line="276" w:lineRule="auto"/>
        <w:jc w:val="center"/>
        <w:rPr>
          <w:rFonts w:asciiTheme="minorHAnsi" w:hAnsiTheme="minorHAnsi" w:cstheme="minorHAnsi"/>
        </w:rPr>
      </w:pPr>
      <w:r w:rsidRPr="00AC43DA">
        <w:rPr>
          <w:rFonts w:asciiTheme="minorHAnsi" w:hAnsiTheme="minorHAnsi" w:cstheme="minorHAnsi"/>
        </w:rPr>
        <w:t xml:space="preserve">OAB/RS </w:t>
      </w:r>
      <w:r w:rsidR="001375EC" w:rsidRPr="00AC43DA">
        <w:rPr>
          <w:rFonts w:asciiTheme="minorHAnsi" w:hAnsiTheme="minorHAnsi" w:cstheme="minorHAnsi"/>
        </w:rPr>
        <w:t>108.314</w:t>
      </w:r>
    </w:p>
    <w:p w14:paraId="29EDCA99" w14:textId="77777777" w:rsidR="002B0848" w:rsidRPr="00AC43DA" w:rsidRDefault="002B0848" w:rsidP="00F64CC0">
      <w:pPr>
        <w:spacing w:line="276" w:lineRule="auto"/>
        <w:rPr>
          <w:rFonts w:asciiTheme="minorHAnsi" w:hAnsiTheme="minorHAnsi" w:cstheme="minorHAnsi"/>
        </w:rPr>
      </w:pPr>
    </w:p>
    <w:sectPr w:rsidR="002B0848" w:rsidRPr="00AC43DA" w:rsidSect="0079375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127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210D7" w14:textId="77777777" w:rsidR="001065AE" w:rsidRDefault="001065AE">
      <w:r>
        <w:separator/>
      </w:r>
    </w:p>
  </w:endnote>
  <w:endnote w:type="continuationSeparator" w:id="0">
    <w:p w14:paraId="330A0B8C" w14:textId="77777777" w:rsidR="001065AE" w:rsidRDefault="0010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58A1B" w14:textId="77777777" w:rsidR="00793758" w:rsidRDefault="00793758" w:rsidP="0079375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01FF4C4" w14:textId="77777777" w:rsidR="00793758" w:rsidRDefault="00793758" w:rsidP="0079375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9DFC3" w14:textId="77777777" w:rsidR="00793758" w:rsidRPr="00AB27BF" w:rsidRDefault="00793758" w:rsidP="00793758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374D05EB" w14:textId="77777777" w:rsidR="00793758" w:rsidRPr="00AC29EE" w:rsidRDefault="00793758" w:rsidP="00793758">
    <w:pPr>
      <w:jc w:val="center"/>
      <w:rPr>
        <w:rFonts w:ascii="Cambria" w:hAnsi="Cambria"/>
        <w:sz w:val="18"/>
        <w:szCs w:val="18"/>
      </w:rPr>
    </w:pPr>
    <w:r w:rsidRPr="00AC29EE">
      <w:rPr>
        <w:rFonts w:ascii="Cambria" w:hAnsi="Cambria"/>
        <w:sz w:val="18"/>
        <w:szCs w:val="18"/>
      </w:rPr>
      <w:t>Avenida Pinheiro, nº 1500 - Centro, Passa Sete - RS, CEP 96908-000, E-mail: secretaria@camarapassasete.rs.gov.br, Fone: 2803-0160</w:t>
    </w:r>
  </w:p>
  <w:p w14:paraId="137A1EC0" w14:textId="4C1E0906" w:rsidR="00793758" w:rsidRPr="00950EB9" w:rsidRDefault="00793758" w:rsidP="00793758">
    <w:pPr>
      <w:pStyle w:val="Rodap"/>
      <w:ind w:right="-32"/>
      <w:jc w:val="center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77FA0" w14:textId="77777777" w:rsidR="001065AE" w:rsidRDefault="001065AE">
      <w:r>
        <w:separator/>
      </w:r>
    </w:p>
  </w:footnote>
  <w:footnote w:type="continuationSeparator" w:id="0">
    <w:p w14:paraId="722A1431" w14:textId="77777777" w:rsidR="001065AE" w:rsidRDefault="00106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CC78E" w14:textId="77777777" w:rsidR="00793758" w:rsidRDefault="00793758" w:rsidP="0079375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BF07F74" w14:textId="77777777" w:rsidR="00793758" w:rsidRDefault="00793758" w:rsidP="0079375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637B0" w14:textId="77777777" w:rsidR="00793758" w:rsidRPr="00950EB9" w:rsidRDefault="00793758" w:rsidP="00793758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DFB8089" wp14:editId="247ECF7A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0623153C" w14:textId="77777777" w:rsidR="00793758" w:rsidRPr="00950EB9" w:rsidRDefault="00793758" w:rsidP="00793758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0AF25E6A" w14:textId="77777777" w:rsidR="00793758" w:rsidRPr="00950EB9" w:rsidRDefault="00793758" w:rsidP="00793758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0F1CC427" w14:textId="77777777" w:rsidR="00793758" w:rsidRDefault="00793758" w:rsidP="00793758">
    <w:pPr>
      <w:pStyle w:val="Cabealho"/>
      <w:ind w:right="-32"/>
      <w:rPr>
        <w:sz w:val="16"/>
        <w:szCs w:val="16"/>
      </w:rPr>
    </w:pPr>
  </w:p>
  <w:p w14:paraId="5D9DD61F" w14:textId="77777777" w:rsidR="00793758" w:rsidRDefault="00793758" w:rsidP="00793758">
    <w:pPr>
      <w:pStyle w:val="Cabealho"/>
      <w:ind w:right="-32"/>
      <w:rPr>
        <w:sz w:val="16"/>
        <w:szCs w:val="16"/>
      </w:rPr>
    </w:pPr>
  </w:p>
  <w:p w14:paraId="0B2C47D2" w14:textId="77777777" w:rsidR="00793758" w:rsidRDefault="00793758" w:rsidP="00793758">
    <w:pPr>
      <w:pStyle w:val="Cabealho"/>
      <w:ind w:right="-32"/>
      <w:rPr>
        <w:sz w:val="16"/>
        <w:szCs w:val="16"/>
      </w:rPr>
    </w:pPr>
  </w:p>
  <w:p w14:paraId="3CCBEDA0" w14:textId="77777777" w:rsidR="00793758" w:rsidRPr="00AB27BF" w:rsidRDefault="00793758" w:rsidP="00793758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700FC"/>
    <w:multiLevelType w:val="hybridMultilevel"/>
    <w:tmpl w:val="EF7C312C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ECB5712"/>
    <w:multiLevelType w:val="hybridMultilevel"/>
    <w:tmpl w:val="49B28458"/>
    <w:lvl w:ilvl="0" w:tplc="CCA6998A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2E33E3C"/>
    <w:multiLevelType w:val="hybridMultilevel"/>
    <w:tmpl w:val="1EDC3C64"/>
    <w:lvl w:ilvl="0" w:tplc="5B1252A0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378781B"/>
    <w:multiLevelType w:val="hybridMultilevel"/>
    <w:tmpl w:val="F34AFD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BB1664D"/>
    <w:multiLevelType w:val="hybridMultilevel"/>
    <w:tmpl w:val="C1F0A64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6187EB8"/>
    <w:multiLevelType w:val="hybridMultilevel"/>
    <w:tmpl w:val="6D4EC1E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78"/>
    <w:rsid w:val="0000139A"/>
    <w:rsid w:val="00007987"/>
    <w:rsid w:val="00031201"/>
    <w:rsid w:val="0004194C"/>
    <w:rsid w:val="00055DBA"/>
    <w:rsid w:val="00075062"/>
    <w:rsid w:val="00077C61"/>
    <w:rsid w:val="00092941"/>
    <w:rsid w:val="000D0DEC"/>
    <w:rsid w:val="000D224D"/>
    <w:rsid w:val="000E448C"/>
    <w:rsid w:val="000E5DA8"/>
    <w:rsid w:val="001065AE"/>
    <w:rsid w:val="001106FB"/>
    <w:rsid w:val="0011461F"/>
    <w:rsid w:val="00130E70"/>
    <w:rsid w:val="001375EC"/>
    <w:rsid w:val="00172596"/>
    <w:rsid w:val="00192B44"/>
    <w:rsid w:val="00193D5C"/>
    <w:rsid w:val="001A4A98"/>
    <w:rsid w:val="001A5853"/>
    <w:rsid w:val="001C6E12"/>
    <w:rsid w:val="001F1C41"/>
    <w:rsid w:val="00237A9A"/>
    <w:rsid w:val="00257573"/>
    <w:rsid w:val="00287369"/>
    <w:rsid w:val="002B0848"/>
    <w:rsid w:val="002B0CB3"/>
    <w:rsid w:val="002E1690"/>
    <w:rsid w:val="002E7078"/>
    <w:rsid w:val="002E7C70"/>
    <w:rsid w:val="00314BBD"/>
    <w:rsid w:val="00317FF3"/>
    <w:rsid w:val="00332279"/>
    <w:rsid w:val="00366B7D"/>
    <w:rsid w:val="00387A1D"/>
    <w:rsid w:val="003C2D4E"/>
    <w:rsid w:val="003C40A4"/>
    <w:rsid w:val="003D651D"/>
    <w:rsid w:val="003E668A"/>
    <w:rsid w:val="003F035F"/>
    <w:rsid w:val="00445AA2"/>
    <w:rsid w:val="00461618"/>
    <w:rsid w:val="00466D17"/>
    <w:rsid w:val="004772AA"/>
    <w:rsid w:val="00492A30"/>
    <w:rsid w:val="004A4E4A"/>
    <w:rsid w:val="004C733C"/>
    <w:rsid w:val="004E6EFC"/>
    <w:rsid w:val="004F0E75"/>
    <w:rsid w:val="00511C0B"/>
    <w:rsid w:val="00541E42"/>
    <w:rsid w:val="005630C8"/>
    <w:rsid w:val="00565D6E"/>
    <w:rsid w:val="0057414A"/>
    <w:rsid w:val="005858B4"/>
    <w:rsid w:val="0059101D"/>
    <w:rsid w:val="00596443"/>
    <w:rsid w:val="005A6CAC"/>
    <w:rsid w:val="005B0B8E"/>
    <w:rsid w:val="005B5CEC"/>
    <w:rsid w:val="00611322"/>
    <w:rsid w:val="0063007E"/>
    <w:rsid w:val="00646F41"/>
    <w:rsid w:val="0065445F"/>
    <w:rsid w:val="00655BDC"/>
    <w:rsid w:val="00661338"/>
    <w:rsid w:val="006669AB"/>
    <w:rsid w:val="006A3D33"/>
    <w:rsid w:val="006B3504"/>
    <w:rsid w:val="006B7741"/>
    <w:rsid w:val="006C3BBA"/>
    <w:rsid w:val="006C68E6"/>
    <w:rsid w:val="006E2994"/>
    <w:rsid w:val="00707317"/>
    <w:rsid w:val="0073494B"/>
    <w:rsid w:val="00743549"/>
    <w:rsid w:val="00751D17"/>
    <w:rsid w:val="007812AF"/>
    <w:rsid w:val="00793758"/>
    <w:rsid w:val="007A4C32"/>
    <w:rsid w:val="007B3A3F"/>
    <w:rsid w:val="007B54D0"/>
    <w:rsid w:val="007C3AC8"/>
    <w:rsid w:val="007C4AA9"/>
    <w:rsid w:val="007E037B"/>
    <w:rsid w:val="00823E75"/>
    <w:rsid w:val="00825F49"/>
    <w:rsid w:val="00826497"/>
    <w:rsid w:val="00870E79"/>
    <w:rsid w:val="00887B35"/>
    <w:rsid w:val="008B4A7F"/>
    <w:rsid w:val="008F5683"/>
    <w:rsid w:val="00905FC7"/>
    <w:rsid w:val="00936441"/>
    <w:rsid w:val="00942109"/>
    <w:rsid w:val="00950477"/>
    <w:rsid w:val="00951C9D"/>
    <w:rsid w:val="00964EA4"/>
    <w:rsid w:val="009746DF"/>
    <w:rsid w:val="00990BFC"/>
    <w:rsid w:val="009956E5"/>
    <w:rsid w:val="009B3850"/>
    <w:rsid w:val="009B75D9"/>
    <w:rsid w:val="009D3A79"/>
    <w:rsid w:val="009E1EF2"/>
    <w:rsid w:val="009E5C2A"/>
    <w:rsid w:val="009E7F03"/>
    <w:rsid w:val="009F2146"/>
    <w:rsid w:val="009F2E3B"/>
    <w:rsid w:val="00A014F3"/>
    <w:rsid w:val="00A07379"/>
    <w:rsid w:val="00A21436"/>
    <w:rsid w:val="00A229BF"/>
    <w:rsid w:val="00A24B78"/>
    <w:rsid w:val="00A4570A"/>
    <w:rsid w:val="00A50644"/>
    <w:rsid w:val="00A52567"/>
    <w:rsid w:val="00A57CA4"/>
    <w:rsid w:val="00A74936"/>
    <w:rsid w:val="00A90C08"/>
    <w:rsid w:val="00A936AA"/>
    <w:rsid w:val="00AC1D00"/>
    <w:rsid w:val="00AC43DA"/>
    <w:rsid w:val="00AC4C5D"/>
    <w:rsid w:val="00AE5734"/>
    <w:rsid w:val="00B263FE"/>
    <w:rsid w:val="00B26D52"/>
    <w:rsid w:val="00B378C3"/>
    <w:rsid w:val="00B44B06"/>
    <w:rsid w:val="00B66AA1"/>
    <w:rsid w:val="00B70C05"/>
    <w:rsid w:val="00B830DD"/>
    <w:rsid w:val="00BA0939"/>
    <w:rsid w:val="00BA5210"/>
    <w:rsid w:val="00BA7FE6"/>
    <w:rsid w:val="00BC786D"/>
    <w:rsid w:val="00BE62E4"/>
    <w:rsid w:val="00BE6871"/>
    <w:rsid w:val="00BE7B6C"/>
    <w:rsid w:val="00C32639"/>
    <w:rsid w:val="00CA02F7"/>
    <w:rsid w:val="00CA1A1E"/>
    <w:rsid w:val="00CB0D5E"/>
    <w:rsid w:val="00CC7DE6"/>
    <w:rsid w:val="00CE4FA4"/>
    <w:rsid w:val="00CE76B5"/>
    <w:rsid w:val="00D078F8"/>
    <w:rsid w:val="00D07CAA"/>
    <w:rsid w:val="00D14DBC"/>
    <w:rsid w:val="00D2260E"/>
    <w:rsid w:val="00D779AD"/>
    <w:rsid w:val="00D90ACD"/>
    <w:rsid w:val="00DA5632"/>
    <w:rsid w:val="00DB051A"/>
    <w:rsid w:val="00DE7F4E"/>
    <w:rsid w:val="00E00679"/>
    <w:rsid w:val="00E0158D"/>
    <w:rsid w:val="00E125B5"/>
    <w:rsid w:val="00E13C71"/>
    <w:rsid w:val="00E15984"/>
    <w:rsid w:val="00E2341C"/>
    <w:rsid w:val="00E46544"/>
    <w:rsid w:val="00E75E07"/>
    <w:rsid w:val="00E901C8"/>
    <w:rsid w:val="00E96208"/>
    <w:rsid w:val="00EA2192"/>
    <w:rsid w:val="00EB744D"/>
    <w:rsid w:val="00EC1431"/>
    <w:rsid w:val="00EC33F5"/>
    <w:rsid w:val="00EC78A8"/>
    <w:rsid w:val="00F004E3"/>
    <w:rsid w:val="00F244F5"/>
    <w:rsid w:val="00F257B8"/>
    <w:rsid w:val="00F25D46"/>
    <w:rsid w:val="00F26B2A"/>
    <w:rsid w:val="00F349C7"/>
    <w:rsid w:val="00F34EFB"/>
    <w:rsid w:val="00F3757B"/>
    <w:rsid w:val="00F64CC0"/>
    <w:rsid w:val="00F7780F"/>
    <w:rsid w:val="00FA2C37"/>
    <w:rsid w:val="00FC1D6C"/>
    <w:rsid w:val="00FC7D54"/>
    <w:rsid w:val="00FD62C5"/>
    <w:rsid w:val="00FE26B2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C2D1"/>
  <w15:chartTrackingRefBased/>
  <w15:docId w15:val="{A4BED579-96E8-4AA8-9E0B-0BCFECF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E7078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paragraph" w:styleId="Ttulo6">
    <w:name w:val="heading 6"/>
    <w:basedOn w:val="Normal"/>
    <w:next w:val="Normal"/>
    <w:link w:val="Ttulo6Char"/>
    <w:unhideWhenUsed/>
    <w:qFormat/>
    <w:rsid w:val="00D14DB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E7078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E707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707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2E7078"/>
  </w:style>
  <w:style w:type="paragraph" w:styleId="Rodap">
    <w:name w:val="footer"/>
    <w:basedOn w:val="Normal"/>
    <w:link w:val="RodapChar"/>
    <w:rsid w:val="002E70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E70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2E707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2E7078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emEspaamento">
    <w:name w:val="No Spacing"/>
    <w:uiPriority w:val="1"/>
    <w:qFormat/>
    <w:rsid w:val="002E7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41"/>
    <w:rPr>
      <w:rFonts w:ascii="Segoe UI" w:eastAsia="Times New Roman" w:hAnsi="Segoe UI" w:cs="Segoe UI"/>
      <w:sz w:val="18"/>
      <w:szCs w:val="18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75E0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75E0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7B6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7B6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E7B6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375EC"/>
    <w:pPr>
      <w:spacing w:before="100" w:beforeAutospacing="1" w:after="100" w:afterAutospacing="1"/>
    </w:pPr>
  </w:style>
  <w:style w:type="paragraph" w:customStyle="1" w:styleId="tj">
    <w:name w:val="tj"/>
    <w:basedOn w:val="Normal"/>
    <w:rsid w:val="003E668A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unhideWhenUsed/>
    <w:rsid w:val="003E668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E66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93D5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93D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744D"/>
    <w:pPr>
      <w:ind w:left="720"/>
      <w:contextualSpacing/>
    </w:pPr>
  </w:style>
  <w:style w:type="character" w:customStyle="1" w:styleId="Ttulo6Char">
    <w:name w:val="Título 6 Char"/>
    <w:basedOn w:val="Fontepargpadro"/>
    <w:link w:val="Ttulo6"/>
    <w:rsid w:val="00D14DBC"/>
    <w:rPr>
      <w:rFonts w:ascii="Calibri" w:eastAsia="Times New Roman" w:hAnsi="Calibri" w:cs="Times New Roman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27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573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1235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5F07-2FFC-4155-B676-DF2CCEA2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Xbox</dc:creator>
  <cp:keywords/>
  <dc:description/>
  <cp:lastModifiedBy>Microsoft</cp:lastModifiedBy>
  <cp:revision>2</cp:revision>
  <cp:lastPrinted>2026-05-11T14:00:00Z</cp:lastPrinted>
  <dcterms:created xsi:type="dcterms:W3CDTF">2026-05-11T14:00:00Z</dcterms:created>
  <dcterms:modified xsi:type="dcterms:W3CDTF">2026-05-11T14:00:00Z</dcterms:modified>
</cp:coreProperties>
</file>